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E7663C" w14:textId="77777777" w:rsidR="00A778CF" w:rsidRDefault="00000000">
      <w:pPr>
        <w:pStyle w:val="Titre"/>
        <w:spacing w:after="100"/>
        <w:jc w:val="center"/>
      </w:pPr>
      <w:r>
        <w:rPr>
          <w:color w:val="000000"/>
        </w:rPr>
        <w:t>Conditions générales de vente</w:t>
      </w:r>
    </w:p>
    <w:p w14:paraId="2355EB64" w14:textId="2810BB1F" w:rsidR="000C472C" w:rsidRDefault="00000000">
      <w:pPr>
        <w:spacing w:after="100"/>
        <w:jc w:val="center"/>
      </w:pPr>
      <w:r>
        <w:t>Version du 1er octobre 2026</w:t>
      </w:r>
    </w:p>
    <w:p w14:paraId="32342F40" w14:textId="77777777" w:rsidR="000C472C" w:rsidRPr="00A778CF" w:rsidRDefault="00000000">
      <w:pPr>
        <w:spacing w:after="300"/>
        <w:jc w:val="center"/>
        <w:rPr>
          <w:sz w:val="24"/>
          <w:szCs w:val="24"/>
        </w:rPr>
      </w:pPr>
      <w:r w:rsidRPr="00A778CF">
        <w:rPr>
          <w:b/>
          <w:bCs/>
          <w:sz w:val="32"/>
          <w:szCs w:val="32"/>
        </w:rPr>
        <w:t>LD MÉDIAPRO — SASU</w:t>
      </w:r>
    </w:p>
    <w:p w14:paraId="466D5D46" w14:textId="77777777" w:rsidR="000C472C" w:rsidRDefault="00000000">
      <w:pPr>
        <w:pStyle w:val="Titre2"/>
        <w:keepNext/>
        <w:spacing w:before="300" w:after="150"/>
      </w:pPr>
      <w:r>
        <w:rPr>
          <w:b/>
          <w:bCs/>
          <w:color w:val="000000"/>
        </w:rPr>
        <w:t>Article 1 — Objet et champ d'application</w:t>
      </w:r>
    </w:p>
    <w:p w14:paraId="6CA01D6B" w14:textId="3B63E168" w:rsidR="000C472C" w:rsidRDefault="00000000">
      <w:pPr>
        <w:spacing w:after="200" w:line="300" w:lineRule="auto"/>
        <w:jc w:val="both"/>
      </w:pPr>
      <w:r>
        <w:t xml:space="preserve">Les présentes Conditions Générales de Vente (ci-après "CGV") régissent les relations contractuelles entre la société LD MÉDIAPRO, société par actions simplifiée unipersonnelle (SASU) au capital social de </w:t>
      </w:r>
      <w:r w:rsidR="00A778CF">
        <w:t>1 000</w:t>
      </w:r>
      <w:r>
        <w:t xml:space="preserve"> euros, immatriculée au Registre du Commerce et des Sociétés de</w:t>
      </w:r>
      <w:r w:rsidR="00A778CF">
        <w:t xml:space="preserve"> Saint-Nazaire</w:t>
      </w:r>
      <w:r>
        <w:t xml:space="preserve"> sous le numéro </w:t>
      </w:r>
      <w:r w:rsidR="00A778CF" w:rsidRPr="00A778CF">
        <w:rPr>
          <w:b/>
          <w:bCs/>
        </w:rPr>
        <w:t xml:space="preserve">103160941 </w:t>
      </w:r>
      <w:r>
        <w:t>, dont le siège social est situé</w:t>
      </w:r>
      <w:r w:rsidR="00A778CF">
        <w:t xml:space="preserve"> 4 La Noé 44460 FÉGRÉAC</w:t>
      </w:r>
      <w:r>
        <w:t xml:space="preserve">, numéro de TVA intracommunautaire </w:t>
      </w:r>
      <w:r w:rsidR="00A778CF">
        <w:t>FR 67103160941</w:t>
      </w:r>
      <w:r>
        <w:t xml:space="preserve"> (ci-après "le Prestataire"), et toute personne physique ou morale agissant à titre professionnel sollicitant ses services (ci-après "le Client").</w:t>
      </w:r>
      <w:r>
        <w:rPr>
          <w:rStyle w:val="CommentReference"/>
        </w:rPr>
      </w:r>
    </w:p>
    <w:p w14:paraId="55958DA7" w14:textId="77777777" w:rsidR="000C472C" w:rsidRDefault="00000000">
      <w:pPr>
        <w:spacing w:after="200" w:line="300" w:lineRule="auto"/>
        <w:jc w:val="both"/>
      </w:pPr>
      <w:r>
        <w:t>Les présentes CGV s’appliquent aux prestations de communication digitale et services associés fournis par le Prestataire à des clients professionnels. Elles sont communiquées au Client avant la conclusion du contrat. Le devis accepté définit les conditions particulières de la mission. Les dispositions impératives applicables demeurent réservées.</w:t>
      </w:r>
      <w:r>
        <w:rPr>
          <w:rStyle w:val="CommentReference"/>
        </w:rPr>
      </w:r>
    </w:p>
    <w:p w14:paraId="65681C34" w14:textId="77777777" w:rsidR="000C472C" w:rsidRDefault="00000000">
      <w:pPr>
        <w:pStyle w:val="Titre2"/>
        <w:keepNext/>
        <w:spacing w:before="300" w:after="150"/>
      </w:pPr>
      <w:r>
        <w:rPr>
          <w:b/>
          <w:bCs/>
          <w:color w:val="000000"/>
        </w:rPr>
        <w:t>Article 2 — Description des prestations</w:t>
      </w:r>
    </w:p>
    <w:p w14:paraId="660EDD3E" w14:textId="77777777" w:rsidR="000C472C" w:rsidRDefault="00000000">
      <w:pPr>
        <w:spacing w:after="200" w:line="300" w:lineRule="auto"/>
        <w:jc w:val="both"/>
      </w:pPr>
      <w:r>
        <w:t>Le Prestataire propose trois formules d’accompagnement mensuel en community management. Les prestations et leurs tarifs sont définis dans un devis personnalisé, soumis au Client avant tout engagement :</w:t>
      </w:r>
      <w:r>
        <w:rPr>
          <w:rStyle w:val="CommentReference"/>
        </w:rPr>
      </w:r>
    </w:p>
    <w:p w14:paraId="634A7202" w14:textId="77777777" w:rsidR="000C472C" w:rsidRDefault="00000000">
      <w:pPr>
        <w:pStyle w:val="Paragraphedeliste"/>
        <w:numPr>
          <w:ilvl w:val="0"/>
          <w:numId w:val="1"/>
        </w:numPr>
        <w:spacing w:after="100"/>
      </w:pPr>
      <w:r>
        <w:t>Formule Démarrage</w:t>
      </w:r>
      <w:r>
        <w:rPr>
          <w:rStyle w:val="CommentReference"/>
        </w:rPr>
      </w:r>
    </w:p>
    <w:p w14:paraId="3A049271" w14:textId="77777777" w:rsidR="000C472C" w:rsidRDefault="00000000">
      <w:pPr>
        <w:pStyle w:val="Paragraphedeliste"/>
        <w:numPr>
          <w:ilvl w:val="0"/>
          <w:numId w:val="1"/>
        </w:numPr>
        <w:spacing w:after="100"/>
      </w:pPr>
      <w:r>
        <w:t>Formule Essentiel</w:t>
      </w:r>
    </w:p>
    <w:p w14:paraId="5C72B91D" w14:textId="77777777" w:rsidR="000C472C" w:rsidRDefault="00000000">
      <w:pPr>
        <w:pStyle w:val="Paragraphedeliste"/>
        <w:numPr>
          <w:ilvl w:val="0"/>
          <w:numId w:val="1"/>
        </w:numPr>
        <w:spacing w:after="100"/>
      </w:pPr>
      <w:r>
        <w:t>Formule Visibilité</w:t>
      </w:r>
      <w:r>
        <w:rPr>
          <w:rStyle w:val="CommentReference"/>
        </w:rPr>
      </w:r>
    </w:p>
    <w:p w14:paraId="383472FD" w14:textId="77777777" w:rsidR="000C472C" w:rsidRDefault="00000000">
      <w:pPr>
        <w:spacing w:after="200" w:line="300" w:lineRule="auto"/>
        <w:jc w:val="both"/>
      </w:pPr>
      <w:r>
        <w:t>Le contenu précis de chaque formule (nombre et nature des publications, réseaux couverts, prestations incluses) est détaillé dans le devis ou bon de commande signé par le Client, lequel prévaut sur toute description générale figurant sur les supports commerciaux du Prestataire.</w:t>
      </w:r>
    </w:p>
    <w:p w14:paraId="4F2C2B80" w14:textId="77777777" w:rsidR="000C472C" w:rsidRDefault="00000000">
      <w:pPr>
        <w:spacing w:after="200" w:line="300" w:lineRule="auto"/>
        <w:jc w:val="both"/>
      </w:pPr>
      <w:r>
        <w:t>Le Prestataire propose également, sur devis distinct, la création et le suivi de fiches Google, la création de sites internet, la création de logos et d’identités visuelles, les prises de vue photo et vidéo, le montage, les audits, le conseil et la formation à la communication digitale. Les modalités d’exécution et de paiement de ces prestations sont précisées au devis correspondant. Sauf stipulation contraire de ce devis, les prestations ponctuelles ne sont pas soumises à la durée d’engagement de l’Article 4.</w:t>
      </w:r>
      <w:r>
        <w:rPr>
          <w:rStyle w:val="CommentReference"/>
        </w:rPr>
      </w:r>
    </w:p>
    <w:p w14:paraId="6C8DB44D" w14:textId="77777777" w:rsidR="000C472C" w:rsidRDefault="00000000">
      <w:pPr>
        <w:pStyle w:val="Titre2"/>
        <w:keepNext/>
        <w:spacing w:before="300" w:after="150"/>
      </w:pPr>
      <w:r>
        <w:rPr>
          <w:b/>
          <w:bCs/>
          <w:color w:val="000000"/>
        </w:rPr>
        <w:t>Article 3 — Devis et formation du contrat</w:t>
      </w:r>
    </w:p>
    <w:p w14:paraId="134ACFE8" w14:textId="77777777" w:rsidR="000C472C" w:rsidRDefault="00000000">
      <w:pPr>
        <w:spacing w:after="200" w:line="300" w:lineRule="auto"/>
        <w:jc w:val="both"/>
      </w:pPr>
      <w:r>
        <w:t>Toute prestation fait l'objet d'un devis préalable, gratuit et sans engagement, précisant la formule choisie, le prix, la date de début d'exécution et la durée d'engagement applicable. Le contrat est formé à réception, par le Prestataire, du devis signé par le Client portant la mention "Bon pour accord", le cas échéant accompagné du versement de l'acompte précisé au devis.</w:t>
      </w:r>
    </w:p>
    <w:p w14:paraId="3816BA58" w14:textId="77777777" w:rsidR="000C472C" w:rsidRDefault="00000000">
      <w:pPr>
        <w:pStyle w:val="Titre2"/>
        <w:keepNext/>
        <w:spacing w:before="300" w:after="150"/>
      </w:pPr>
      <w:r>
        <w:rPr>
          <w:b/>
          <w:bCs/>
          <w:color w:val="000000"/>
        </w:rPr>
        <w:t>Article 4 — Durée et engagement initial</w:t>
      </w:r>
    </w:p>
    <w:p w14:paraId="5AF78B3F" w14:textId="77777777" w:rsidR="000C472C" w:rsidRDefault="00000000">
      <w:pPr>
        <w:spacing w:after="200" w:line="300" w:lineRule="auto"/>
        <w:jc w:val="both"/>
      </w:pPr>
      <w:r>
        <w:t>Les prestations d’accompagnement mensuel (formules Démarrage, Essentiel, Visibilité) sont souscrites pour une durée minimale de trois (3) mois consécutifs à compter de la date de début d’exécution mentionnée au devis (ci-après « la Période d’Engagement Initiale »). Sous réserve des dispositions impératives applicables et des cas de résiliation pour manquement prévus à l’Article 13, une résiliation ordinaire ne peut prendre effet avant le terme de cette période.</w:t>
      </w:r>
    </w:p>
    <w:p w14:paraId="65A5E273" w14:textId="77777777" w:rsidR="000C472C" w:rsidRDefault="00000000">
      <w:pPr>
        <w:pStyle w:val="Titre2"/>
        <w:keepNext/>
        <w:spacing w:before="300" w:after="150"/>
      </w:pPr>
      <w:r>
        <w:rPr>
          <w:b/>
          <w:bCs/>
          <w:color w:val="000000"/>
        </w:rPr>
        <w:lastRenderedPageBreak/>
        <w:t>Article 5 — Reconduction</w:t>
      </w:r>
    </w:p>
    <w:p w14:paraId="27ED4B91" w14:textId="77777777" w:rsidR="000C472C" w:rsidRDefault="00000000">
      <w:pPr>
        <w:spacing w:after="200" w:line="300" w:lineRule="auto"/>
        <w:jc w:val="both"/>
      </w:pPr>
      <w:r>
        <w:t>À l'issue de la Période d'Engagement Initiale, le contrat est reconduit tacitement par périodes mensuelles, aux mêmes conditions tarifaires sauf révision notifiée dans les conditions de l'Article 7, sauf résiliation notifiée par l'une des parties dans les conditions de l'Article 6.</w:t>
      </w:r>
    </w:p>
    <w:p w14:paraId="5578C1D5" w14:textId="77777777" w:rsidR="000C472C" w:rsidRDefault="00000000">
      <w:pPr>
        <w:spacing w:after="200" w:line="300" w:lineRule="auto"/>
        <w:jc w:val="both"/>
      </w:pPr>
      <w:r>
        <w:t>Le Prestataire peut rappeler au Client par courrier électronique l’approche du terme de la Période d’Engagement Initiale, sans préjudice des obligations légales d’information éventuellement applicables.</w:t>
      </w:r>
      <w:r>
        <w:rPr>
          <w:rStyle w:val="CommentReference"/>
        </w:rPr>
      </w:r>
    </w:p>
    <w:p w14:paraId="14B0DF26" w14:textId="77777777" w:rsidR="000C472C" w:rsidRDefault="00000000">
      <w:pPr>
        <w:pStyle w:val="Titre2"/>
        <w:keepNext/>
        <w:spacing w:before="300" w:after="150"/>
      </w:pPr>
      <w:r>
        <w:rPr>
          <w:b/>
          <w:bCs/>
          <w:color w:val="000000"/>
        </w:rPr>
        <w:t>Article 6 — Résiliation</w:t>
      </w:r>
    </w:p>
    <w:p w14:paraId="606D7551" w14:textId="72F91844" w:rsidR="000C472C" w:rsidRDefault="00000000">
      <w:pPr>
        <w:spacing w:after="200" w:line="300" w:lineRule="auto"/>
        <w:jc w:val="both"/>
      </w:pPr>
      <w:r>
        <w:t>Chaque partie peut notifier par écrit la non-reconduction du contrat, avec un préavis d’au moins quinze (15) jours calendaires avant la fin de la période mensuelle concernée. La notification peut être effectuée par lettre recommandée avec accusé de réception ou par courrier électronique ; lorsqu’elle émane du Client, elle est adressée à ldmediapro44@gmail.com. La résiliation ordinaire prend effet à la fin de cette période mensuelle, sans pouvoir intervenir avant le terme de la Période d’Engagement Initiale. Si le préavis n’est pas respecté pour l’échéance visée, la résiliation prend effet à la fin de la période mensuelle suivante. Les prestations se poursuivent jusqu’à la date de fin du contrat et la dernière période mensuelle est facturée intégralement, sans prorata au titre de cette résiliation ordinaire. Les autres causes de résiliation et les dispositions impératives applicables restent réservées.</w:t>
      </w:r>
      <w:r>
        <w:rPr>
          <w:rStyle w:val="CommentReference"/>
        </w:rPr>
      </w:r>
      <w:r w:rsidR="00A778CF" w:rsidRPr="00A778CF">
        <w:rPr>
          <w:b/>
          <w:bCs/>
        </w:rPr>
      </w:r>
      <w:r/>
    </w:p>
    <w:p w14:paraId="623A8D53" w14:textId="77777777" w:rsidR="000C472C" w:rsidRDefault="00000000">
      <w:pPr>
        <w:pStyle w:val="Titre2"/>
        <w:keepNext/>
        <w:spacing w:before="300" w:after="150"/>
      </w:pPr>
      <w:r>
        <w:rPr>
          <w:b/>
          <w:bCs/>
          <w:color w:val="000000"/>
        </w:rPr>
        <w:t>Article 7 — Prix, révision tarifaire et modalités de paiement</w:t>
      </w:r>
    </w:p>
    <w:p w14:paraId="7B4C8E61" w14:textId="77777777" w:rsidR="000C472C" w:rsidRDefault="00000000">
      <w:pPr>
        <w:spacing w:after="200" w:line="300" w:lineRule="auto"/>
        <w:jc w:val="both"/>
      </w:pPr>
      <w:r>
        <w:t>Les prix des formules sont indiqués en euros hors taxes (HT), majorés de la TVA au taux en vigueur (20 % à la date de rédaction des présentes, sous réserve de modification légale).</w:t>
      </w:r>
    </w:p>
    <w:p w14:paraId="42FF084A" w14:textId="38E194B3" w:rsidR="000C472C" w:rsidRDefault="00000000">
      <w:pPr>
        <w:spacing w:after="200" w:line="300" w:lineRule="auto"/>
        <w:jc w:val="both"/>
      </w:pPr>
      <w:r>
        <w:t>Toute révision tarifaire est notifiée au Client par écrit au moins trente (30) jours avant son entrée en vigueur. Elle ne s’applique pas pendant la Période d’Engagement Initiale et prend effet à une échéance de renouvellement mensuel postérieure au délai de notification. Le Client peut notifier la non-reconduction dans les conditions de l’Article 6 avant l’application du nouveau tarif.</w:t>
      </w:r>
      <w:r>
        <w:rPr>
          <w:rStyle w:val="CommentReference"/>
        </w:rPr>
      </w:r>
      <w:r w:rsidR="00A778CF" w:rsidRPr="005602A5">
        <w:rPr>
          <w:b/>
          <w:bCs/>
        </w:rPr>
      </w:r>
      <w:r/>
    </w:p>
    <w:p w14:paraId="4CEDCBD5" w14:textId="61831000" w:rsidR="000C472C" w:rsidRDefault="00000000">
      <w:pPr>
        <w:spacing w:after="200" w:line="300" w:lineRule="auto"/>
        <w:jc w:val="both"/>
      </w:pPr>
      <w:r>
        <w:t>Les prestations sont facturées mensuellement</w:t>
      </w:r>
      <w:r w:rsidR="00CD59F9">
        <w:t xml:space="preserve"> </w:t>
      </w:r>
      <w:r w:rsidR="00CD59F9" w:rsidRPr="00CD59F9">
        <w:t>d'avance, dès le début de chaque période mensuelle, et payables à réception de facture, par virement bancaire ou tout autre moyen convenu entre les parties.</w:t>
      </w:r>
    </w:p>
    <w:p w14:paraId="59B1991F" w14:textId="77777777" w:rsidR="000C472C" w:rsidRDefault="00000000">
      <w:pPr>
        <w:spacing w:after="200" w:line="300" w:lineRule="auto"/>
        <w:jc w:val="both"/>
      </w:pPr>
      <w:r>
        <w:t>Conformément à l'article L441-10 du Code de commerce, tout retard de paiement entraîne de plein droit l'application d'une pénalité de retard calculée au taux d'intérêt appliqué par la Banque centrale européenne à son opération de refinancement la plus récente, majoré de dix points de pourcentage, ainsi qu'une indemnité forfaitaire pour frais de recouvrement de quarante (40) euros, sans préjudice d'une indemnisation complémentaire sur justification si les frais de recouvrement exposés sont supérieurs à ce montant.</w:t>
      </w:r>
    </w:p>
    <w:p w14:paraId="0D4C25F0" w14:textId="77777777" w:rsidR="000C472C" w:rsidRDefault="00000000">
      <w:pPr>
        <w:pStyle w:val="Titre2"/>
        <w:keepNext/>
        <w:spacing w:before="300" w:after="150"/>
      </w:pPr>
      <w:r>
        <w:rPr>
          <w:b/>
          <w:bCs/>
          <w:color w:val="000000"/>
        </w:rPr>
        <w:t>Article 8 — Obligations du Client</w:t>
      </w:r>
    </w:p>
    <w:p w14:paraId="3D581C57" w14:textId="0FFD048C" w:rsidR="000C472C" w:rsidRDefault="00000000">
      <w:pPr>
        <w:spacing w:after="200" w:line="300" w:lineRule="auto"/>
        <w:jc w:val="both"/>
      </w:pPr>
      <w:r>
        <w:t>Le Client s’engage à fournir au Prestataire, dans des délais raisonnables, les informations, contenus et accès nécessaires à l’exécution des prestations, notamment les autorisations d’accès aux comptes, les visuels, le logo et les éléments de charte graphique. Il veille à l’exactitude des informations transmises et à disposer des droits et autorisations nécessaires sur les éléments fournis. Le Prestataire soumet les contenus au Client préalablement à leur publication, en précisant le délai de validation. Le Client dispose de cinq (5) jours ouvrés à compter de leur réception pour communiquer son accord ou ses demandes de modification. À défaut de retour dans ce délai, les contenus proposés sont réputés validés, sauf modalité différente convenue par écrit.</w:t>
      </w:r>
      <w:r>
        <w:rPr>
          <w:rStyle w:val="CommentReference"/>
        </w:rPr>
      </w:r>
      <w:r w:rsidR="00CD59F9"/>
      <w:r/>
    </w:p>
    <w:p w14:paraId="7843F943" w14:textId="77777777" w:rsidR="000C472C" w:rsidRDefault="00000000">
      <w:pPr>
        <w:pStyle w:val="Titre2"/>
        <w:keepNext/>
        <w:spacing w:before="300" w:after="150"/>
      </w:pPr>
      <w:r>
        <w:rPr>
          <w:b/>
          <w:bCs/>
          <w:color w:val="000000"/>
        </w:rPr>
        <w:t>Article 9 — Obligations et moyens du Prestataire</w:t>
      </w:r>
    </w:p>
    <w:p w14:paraId="62BE805D" w14:textId="77777777" w:rsidR="000C472C" w:rsidRDefault="00000000">
      <w:pPr>
        <w:spacing w:after="200" w:line="300" w:lineRule="auto"/>
        <w:jc w:val="both"/>
      </w:pPr>
      <w:r>
        <w:t>Le Prestataire s'engage à exécuter les prestations avec soin et diligence, conformément aux règles de l'art de la profession. Le Prestataire est tenu à une obligation de moyens, à l'exclusion de toute obligation de résultat, notamment s'agissant des indicateurs de performance liés aux réseaux sociaux (portée, taux d'engagement, nombre d'abonnés, conversion commerciale), lesquels dépendent pour partie d'algorithmes et de facteurs échappant au contrôle du Prestataire.</w:t>
      </w:r>
    </w:p>
    <w:p w14:paraId="414F67E5" w14:textId="77777777" w:rsidR="000C472C" w:rsidRDefault="00000000">
      <w:pPr>
        <w:pStyle w:val="Titre2"/>
        <w:keepNext/>
        <w:spacing w:before="300" w:after="150"/>
      </w:pPr>
      <w:r>
        <w:rPr>
          <w:b/>
          <w:bCs/>
          <w:color w:val="000000"/>
        </w:rPr>
        <w:t>Article 10 — Propriété intellectuelle</w:t>
      </w:r>
    </w:p>
    <w:p w14:paraId="1E519C8D" w14:textId="77777777" w:rsidR="000C472C" w:rsidRDefault="00000000">
      <w:pPr>
        <w:spacing w:after="200" w:line="300" w:lineRule="auto"/>
        <w:jc w:val="both"/>
      </w:pPr>
      <w:r>
        <w:t>Les contenus créés par le Prestataire dans le cadre de l'exécution des prestations (visuels, textes, montages, créations graphiques) sont cédés au Client à titre exclusif pour son usage commercial, à compter du complet paiement des factures correspondantes. Le Prestataire conserve le droit de faire mention de sa réalisation à titre de référence commerciale (portfolio, réseaux sociaux professionnels), sauf opposition écrite du Client.</w:t>
      </w:r>
      <w:r>
        <w:rPr>
          <w:rStyle w:val="CommentReference"/>
        </w:rPr>
      </w:r>
    </w:p>
    <w:p w14:paraId="3BEF9754" w14:textId="77777777" w:rsidR="000C472C" w:rsidRDefault="00000000">
      <w:pPr>
        <w:pStyle w:val="Titre2"/>
        <w:keepNext/>
        <w:spacing w:before="300" w:after="150"/>
      </w:pPr>
      <w:r>
        <w:rPr>
          <w:b/>
          <w:bCs/>
          <w:color w:val="000000"/>
        </w:rPr>
        <w:t>Article 11 — Confidentialité</w:t>
      </w:r>
    </w:p>
    <w:p w14:paraId="718D3DA4" w14:textId="4B93A04E" w:rsidR="000C472C" w:rsidRDefault="00000000">
      <w:pPr>
        <w:spacing w:after="200" w:line="300" w:lineRule="auto"/>
        <w:jc w:val="both"/>
      </w:pPr>
      <w:r>
        <w:t>Chacune des parties s'engage à conserver confidentielles les informations de nature confidentielle dont elle aurait connaissance à l'occasion de l'exécution du contrat, et à ne pas les divulguer à des tiers, pendant toute la durée du contrat et pendant une durée de</w:t>
      </w:r>
      <w:r w:rsidR="00CD59F9">
        <w:t xml:space="preserve"> </w:t>
      </w:r>
      <w:r w:rsidR="00CD59F9" w:rsidRPr="00CD59F9">
        <w:rPr>
          <w:b/>
          <w:bCs/>
        </w:rPr>
        <w:t>2 ans</w:t>
      </w:r>
      <w:r>
        <w:t xml:space="preserve"> à compter de son terme.</w:t>
      </w:r>
    </w:p>
    <w:p w14:paraId="5282AB65" w14:textId="77777777" w:rsidR="000C472C" w:rsidRDefault="00000000">
      <w:pPr>
        <w:pStyle w:val="Titre2"/>
        <w:keepNext/>
        <w:spacing w:before="300" w:after="150"/>
      </w:pPr>
      <w:r>
        <w:rPr>
          <w:b/>
          <w:bCs/>
          <w:color w:val="000000"/>
        </w:rPr>
        <w:t>Article 12 — Protection des données personnelles</w:t>
      </w:r>
    </w:p>
    <w:p w14:paraId="79F63467" w14:textId="77777777" w:rsidR="000C472C" w:rsidRDefault="00000000">
      <w:pPr>
        <w:spacing w:after="200" w:line="300" w:lineRule="auto"/>
        <w:jc w:val="both"/>
      </w:pPr>
      <w:r>
        <w:t>Dans le cadre de l'exécution des prestations, le Prestataire peut être amené à traiter, pour le compte du Client, des données à caractère personnel (notamment via la gestion des comptes de réseaux sociaux, formulaires et outils marketing). Chaque partie s'engage à respecter la réglementation applicable en matière de protection des données personnelles, notamment le Règlement (UE) 2016/679 (RGPD) et la loi n° 78-17 du 6 janvier 1978 modifiée.</w:t>
      </w:r>
      <w:r>
        <w:rPr>
          <w:rStyle w:val="CommentReference"/>
        </w:rPr>
      </w:r>
    </w:p>
    <w:p w14:paraId="75455724" w14:textId="77777777" w:rsidR="000C472C" w:rsidRDefault="00000000">
      <w:pPr>
        <w:pStyle w:val="Titre2"/>
        <w:keepNext/>
        <w:spacing w:before="300" w:after="150"/>
      </w:pPr>
      <w:r>
        <w:rPr>
          <w:b/>
          <w:bCs/>
          <w:color w:val="000000"/>
        </w:rPr>
        <w:t>Article 13 — Résiliation pour manquement</w:t>
      </w:r>
    </w:p>
    <w:p w14:paraId="002CE682" w14:textId="54AC85D3" w:rsidR="000C472C" w:rsidRDefault="00000000">
      <w:pPr>
        <w:spacing w:after="200" w:line="300" w:lineRule="auto"/>
        <w:jc w:val="both"/>
      </w:pPr>
      <w:r>
        <w:t xml:space="preserve">En cas de manquement grave par l'une des parties à l'une de ses obligations essentielles, non réparé dans un délai de </w:t>
      </w:r>
      <w:r w:rsidR="00CD59F9" w:rsidRPr="00CD59F9">
        <w:rPr>
          <w:b/>
          <w:bCs/>
        </w:rPr>
        <w:t>15 jours</w:t>
      </w:r>
      <w:r w:rsidRPr="00CD59F9">
        <w:t xml:space="preserve"> </w:t>
      </w:r>
      <w:r>
        <w:t>suivant une mise en demeure écrite restée sans effet, l'autre partie pourra résilier le contrat de plein droit, sans préjudice de tous dommages et intérêts éventuels.</w:t>
      </w:r>
    </w:p>
    <w:p w14:paraId="5593C864" w14:textId="77777777" w:rsidR="000C472C" w:rsidRDefault="00000000">
      <w:pPr>
        <w:pStyle w:val="Titre2"/>
        <w:keepNext/>
        <w:spacing w:before="300" w:after="150"/>
      </w:pPr>
      <w:r>
        <w:rPr>
          <w:b/>
          <w:bCs/>
          <w:color w:val="000000"/>
        </w:rPr>
        <w:t>Article 14 — Force majeure</w:t>
      </w:r>
    </w:p>
    <w:p w14:paraId="217B82E4" w14:textId="77777777" w:rsidR="000C472C" w:rsidRDefault="00000000">
      <w:pPr>
        <w:spacing w:after="200" w:line="300" w:lineRule="auto"/>
        <w:jc w:val="both"/>
      </w:pPr>
      <w:r>
        <w:t>Aucune des parties ne pourra être tenue responsable envers l'autre de l'inexécution ou du retard dans l'exécution d'une de ses obligations qui serait dû à un cas de force majeure au sens de l'article 1218 du Code civil et de la jurisprudence des juridictions françaises.</w:t>
      </w:r>
    </w:p>
    <w:p w14:paraId="1A592F89" w14:textId="77777777" w:rsidR="000C472C" w:rsidRDefault="00000000">
      <w:pPr>
        <w:pStyle w:val="Titre2"/>
        <w:keepNext/>
        <w:spacing w:before="300" w:after="150"/>
      </w:pPr>
      <w:r>
        <w:rPr>
          <w:b/>
          <w:bCs/>
          <w:color w:val="000000"/>
        </w:rPr>
        <w:t>Article 15 — Droit applicable et litiges</w:t>
      </w:r>
    </w:p>
    <w:p w14:paraId="6A8151EA" w14:textId="1B19D65B" w:rsidR="000C472C" w:rsidRDefault="00000000">
      <w:pPr>
        <w:spacing w:after="200" w:line="300" w:lineRule="auto"/>
        <w:jc w:val="both"/>
      </w:pPr>
      <w:r>
        <w:t>Les présentes CGV sont soumises au droit français. En cas de différend relatif à leur validité, leur interprétation ou leur exécution, les parties s’efforcent de rechercher une solution amiable, sans empêcher l’exercice des recours ou mesures urgentes prévus par la loi. À défaut d’accord amiable, le litige relève des juridictions compétentes conformément aux règles légales applicables.</w:t>
      </w:r>
      <w:r>
        <w:rPr>
          <w:rStyle w:val="CommentReference"/>
        </w:rPr>
      </w:r>
      <w:r w:rsidRPr="00CD59F9">
        <w:rPr>
          <w:b/>
          <w:bCs/>
        </w:rPr>
      </w:r>
      <w:r w:rsidR="00CD59F9" w:rsidRPr="00CD59F9">
        <w:rPr>
          <w:b/>
          <w:bCs/>
        </w:rPr>
      </w:r>
      <w:proofErr w:type="gramStart"/>
      <w:r w:rsidR="00CD59F9" w:rsidRPr="00CD59F9">
        <w:rPr>
          <w:b/>
          <w:bCs/>
        </w:rPr>
      </w:r>
      <w:r w:rsidRPr="00CD59F9">
        <w:rPr>
          <w:b/>
          <w:bCs/>
        </w:rPr>
      </w:r>
      <w:r/>
      <w:proofErr w:type="gramEnd"/>
      <w:r/>
    </w:p>
    <w:p w14:paraId="7E307238" w14:textId="77777777" w:rsidR="000C472C" w:rsidRDefault="00000000">
      <w:pPr>
        <w:pStyle w:val="Titre2"/>
        <w:keepNext/>
        <w:spacing w:before="300" w:after="150"/>
      </w:pPr>
      <w:r>
        <w:rPr>
          <w:b/>
          <w:bCs/>
          <w:color w:val="000000"/>
        </w:rPr>
        <w:t>Article 16 — Acceptation</w:t>
      </w:r>
    </w:p>
    <w:p w14:paraId="239AC3FC" w14:textId="77777777" w:rsidR="000C472C" w:rsidRDefault="00000000">
      <w:pPr>
        <w:spacing w:after="200" w:line="300" w:lineRule="auto"/>
        <w:jc w:val="both"/>
      </w:pPr>
      <w:r>
        <w:t>Le Client reconnaît avoir reçu les présentes CGV et en avoir pris connaissance avant la conclusion du contrat. Leur acceptation est matérialisée par la signature du devis ou du bon de commande qui les référence, accompagnée de la mention « Bon pour accord ». La signature peut être manuscrite ou électronique.</w:t>
      </w:r>
      <w:r>
        <w:rPr>
          <w:rStyle w:val="CommentReference"/>
        </w:rPr>
      </w:r>
    </w:p>
    <w:p w14:paraId="035D54EC" w14:textId="77777777" w:rsidR="000C472C" w:rsidRDefault="000C472C">
      <w:pPr>
        <w:spacing w:before="500"/>
      </w:pPr>
    </w:p>
    <w:sectPr w:rsidR="000C472C">
      <w:foot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E20E5D" w14:textId="77777777" w:rsidR="00991B88" w:rsidRDefault="00991B88">
      <w:r>
        <w:separator/>
      </w:r>
    </w:p>
  </w:endnote>
  <w:endnote w:type="continuationSeparator" w:id="0">
    <w:p w14:paraId="7D9654AC" w14:textId="77777777" w:rsidR="00991B88" w:rsidRDefault="00991B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8239E" w14:textId="77777777" w:rsidR="000C472C" w:rsidRDefault="00000000">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F4A73B" w14:textId="77777777" w:rsidR="00991B88" w:rsidRDefault="00991B88">
      <w:r>
        <w:separator/>
      </w:r>
    </w:p>
  </w:footnote>
  <w:footnote w:type="continuationSeparator" w:id="0">
    <w:p w14:paraId="296CD1EC" w14:textId="77777777" w:rsidR="00991B88" w:rsidRDefault="00991B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253351"/>
    <w:multiLevelType w:val="hybridMultilevel"/>
    <w:tmpl w:val="E78EBE0E"/>
    <w:lvl w:ilvl="0" w:tplc="A0F0C6C4">
      <w:start w:val="1"/>
      <w:numFmt w:val="bullet"/>
      <w:lvlText w:val="●"/>
      <w:lvlJc w:val="left"/>
      <w:pPr>
        <w:ind w:left="720" w:hanging="360"/>
      </w:pPr>
    </w:lvl>
    <w:lvl w:ilvl="1" w:tplc="D9F4FE80">
      <w:start w:val="1"/>
      <w:numFmt w:val="bullet"/>
      <w:lvlText w:val="○"/>
      <w:lvlJc w:val="left"/>
      <w:pPr>
        <w:ind w:left="1440" w:hanging="360"/>
      </w:pPr>
    </w:lvl>
    <w:lvl w:ilvl="2" w:tplc="276EF9AC">
      <w:start w:val="1"/>
      <w:numFmt w:val="bullet"/>
      <w:lvlText w:val="■"/>
      <w:lvlJc w:val="left"/>
      <w:pPr>
        <w:ind w:left="2160" w:hanging="360"/>
      </w:pPr>
    </w:lvl>
    <w:lvl w:ilvl="3" w:tplc="BF8E1B4C">
      <w:start w:val="1"/>
      <w:numFmt w:val="bullet"/>
      <w:lvlText w:val="●"/>
      <w:lvlJc w:val="left"/>
      <w:pPr>
        <w:ind w:left="2880" w:hanging="360"/>
      </w:pPr>
    </w:lvl>
    <w:lvl w:ilvl="4" w:tplc="B46655B6">
      <w:start w:val="1"/>
      <w:numFmt w:val="bullet"/>
      <w:lvlText w:val="○"/>
      <w:lvlJc w:val="left"/>
      <w:pPr>
        <w:ind w:left="3600" w:hanging="360"/>
      </w:pPr>
    </w:lvl>
    <w:lvl w:ilvl="5" w:tplc="BAACDAA0">
      <w:start w:val="1"/>
      <w:numFmt w:val="bullet"/>
      <w:lvlText w:val="■"/>
      <w:lvlJc w:val="left"/>
      <w:pPr>
        <w:ind w:left="4320" w:hanging="360"/>
      </w:pPr>
    </w:lvl>
    <w:lvl w:ilvl="6" w:tplc="A8E621DE">
      <w:start w:val="1"/>
      <w:numFmt w:val="bullet"/>
      <w:lvlText w:val="●"/>
      <w:lvlJc w:val="left"/>
      <w:pPr>
        <w:ind w:left="5040" w:hanging="360"/>
      </w:pPr>
    </w:lvl>
    <w:lvl w:ilvl="7" w:tplc="C0AACCCA">
      <w:start w:val="1"/>
      <w:numFmt w:val="bullet"/>
      <w:lvlText w:val="●"/>
      <w:lvlJc w:val="left"/>
      <w:pPr>
        <w:ind w:left="5760" w:hanging="360"/>
      </w:pPr>
    </w:lvl>
    <w:lvl w:ilvl="8" w:tplc="056C43CC">
      <w:start w:val="1"/>
      <w:numFmt w:val="bullet"/>
      <w:lvlText w:val="●"/>
      <w:lvlJc w:val="left"/>
      <w:pPr>
        <w:ind w:left="6480" w:hanging="360"/>
      </w:pPr>
    </w:lvl>
  </w:abstractNum>
  <w:num w:numId="1" w16cid:durableId="201603326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472C"/>
    <w:rsid w:val="000C472C"/>
    <w:rsid w:val="005602A5"/>
    <w:rsid w:val="008F559A"/>
    <w:rsid w:val="00991B88"/>
    <w:rsid w:val="00A778CF"/>
    <w:rsid w:val="00CD59F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32868"/>
  <w15:docId w15:val="{EAF406E5-252B-4873-BA09-8C380376F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000000"/>
      <w:sz w:val="32"/>
      <w:szCs w:val="32"/>
    </w:rPr>
  </w:style>
  <w:style w:type="paragraph" w:styleId="Titre2">
    <w:name w:val="heading 2"/>
    <w:uiPriority w:val="9"/>
    <w:unhideWhenUsed/>
    <w:qFormat/>
    <w:pPr>
      <w:outlineLvl w:val="1"/>
    </w:pPr>
    <w:rPr>
      <w:color w:val="000000"/>
      <w:sz w:val="26"/>
      <w:szCs w:val="26"/>
    </w:rPr>
  </w:style>
  <w:style w:type="paragraph" w:styleId="Titre3">
    <w:name w:val="heading 3"/>
    <w:uiPriority w:val="9"/>
    <w:semiHidden/>
    <w:unhideWhenUsed/>
    <w:qFormat/>
    <w:pPr>
      <w:outlineLvl w:val="2"/>
    </w:pPr>
    <w:rPr>
      <w:color w:val="000000"/>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color w:val="000000"/>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style>
  <w:style w:type="character" w:customStyle="1" w:styleId="NotedefinCar">
    <w:name w:val="Note de fin Car"/>
    <w:link w:val="Notedefin"/>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1376</Words>
  <Characters>7574</Characters>
  <Application>Microsoft Office Word</Application>
  <DocSecurity>0</DocSecurity>
  <Lines>63</Lines>
  <Paragraphs>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David LEVIEUGE</cp:lastModifiedBy>
  <cp:revision>2</cp:revision>
  <dcterms:created xsi:type="dcterms:W3CDTF">2026-07-20T10:35:00Z</dcterms:created>
  <dcterms:modified xsi:type="dcterms:W3CDTF">2026-07-20T10:35:00Z</dcterms:modified>
</cp:coreProperties>
</file>